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68F93D3D"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00AF2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031F0F">
        <w:rPr>
          <w:rFonts w:ascii="Arial" w:eastAsiaTheme="minorEastAsia" w:hAnsi="Arial" w:cs="Arial"/>
          <w:b/>
          <w:sz w:val="24"/>
          <w:szCs w:val="24"/>
          <w:lang w:eastAsia="zh-CN"/>
        </w:rPr>
        <w:t>13779</w:t>
      </w:r>
    </w:p>
    <w:p w14:paraId="5B870C7D" w14:textId="4A873067" w:rsidR="00376F68" w:rsidRPr="003A2B9E" w:rsidRDefault="00AF21C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Prague</w:t>
      </w:r>
      <w:r w:rsidR="00C63A89" w:rsidRPr="00C63A89">
        <w:rPr>
          <w:rFonts w:ascii="Arial" w:hAnsi="Arial" w:cs="Arial"/>
          <w:b/>
          <w:sz w:val="24"/>
        </w:rPr>
        <w:t xml:space="preserve">, </w:t>
      </w:r>
      <w:r>
        <w:rPr>
          <w:rFonts w:ascii="Arial" w:hAnsi="Arial" w:cs="Arial"/>
          <w:b/>
          <w:sz w:val="24"/>
        </w:rPr>
        <w:t>Czech Republic</w:t>
      </w:r>
      <w:r w:rsidR="00C63A89" w:rsidRPr="00C63A89">
        <w:rPr>
          <w:rFonts w:ascii="Arial" w:hAnsi="Arial" w:cs="Arial"/>
          <w:b/>
          <w:sz w:val="24"/>
        </w:rPr>
        <w:t xml:space="preserve">, </w:t>
      </w:r>
      <w:r>
        <w:rPr>
          <w:rFonts w:ascii="Arial" w:hAnsi="Arial" w:cs="Arial"/>
          <w:b/>
          <w:sz w:val="24"/>
        </w:rPr>
        <w:t>13</w:t>
      </w:r>
      <w:r w:rsidR="00C63A89" w:rsidRPr="00C63A89">
        <w:rPr>
          <w:rFonts w:ascii="Arial" w:hAnsi="Arial" w:cs="Arial"/>
          <w:b/>
          <w:sz w:val="24"/>
        </w:rPr>
        <w:t xml:space="preserve"> – </w:t>
      </w:r>
      <w:r>
        <w:rPr>
          <w:rFonts w:ascii="Arial" w:hAnsi="Arial" w:cs="Arial"/>
          <w:b/>
          <w:sz w:val="24"/>
        </w:rPr>
        <w:t>17 October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A7E64D5"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031F0F" w:rsidRPr="00031F0F">
        <w:rPr>
          <w:rFonts w:ascii="Arial" w:eastAsia="MS Mincho" w:hAnsi="Arial" w:cs="Arial"/>
          <w:bCs/>
          <w:sz w:val="22"/>
          <w:lang w:val="pt-BR" w:eastAsia="ja-JP"/>
        </w:rPr>
        <w:t>6.9.2.2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1B1FDCE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087122">
        <w:rPr>
          <w:rFonts w:ascii="Arial" w:eastAsia="MS Mincho" w:hAnsi="Arial" w:cs="Arial"/>
          <w:sz w:val="22"/>
        </w:rPr>
        <w:t>MIMO</w:t>
      </w:r>
      <w:r w:rsidR="009E0F67">
        <w:rPr>
          <w:rFonts w:ascii="Arial" w:eastAsia="MS Mincho" w:hAnsi="Arial" w:cs="Arial"/>
          <w:sz w:val="22"/>
        </w:rPr>
        <w:t xml:space="preserve"> OTA</w:t>
      </w:r>
      <w:r w:rsidR="00143B1A">
        <w:rPr>
          <w:rFonts w:ascii="Arial" w:eastAsia="MS Mincho" w:hAnsi="Arial" w:cs="Arial"/>
          <w:sz w:val="22"/>
        </w:rPr>
        <w:t xml:space="preserve"> tests</w:t>
      </w:r>
    </w:p>
    <w:p w14:paraId="00F33953" w14:textId="6ABEFF2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07E54" w:rsidRPr="00707E54">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499ACDC6" w:rsidR="00FC2478" w:rsidRPr="002A087A" w:rsidRDefault="00213832" w:rsidP="00FC2478">
      <w:pPr>
        <w:rPr>
          <w:lang w:eastAsia="zh-CN"/>
        </w:rPr>
      </w:pPr>
      <w:r>
        <w:rPr>
          <w:lang w:eastAsia="zh-CN"/>
        </w:rPr>
        <w:t>The WF [1] in RAN4 #116 did not conclude on how to combine the CTMT for MIMO performance</w:t>
      </w:r>
      <w:r w:rsidR="001D69DA">
        <w:rPr>
          <w:lang w:eastAsia="zh-CN"/>
        </w:rPr>
        <w:t xml:space="preserve"> metric</w:t>
      </w:r>
      <w:r>
        <w:rPr>
          <w:lang w:eastAsia="zh-CN"/>
        </w:rPr>
        <w:t xml:space="preserve">. </w:t>
      </w:r>
      <w:r w:rsidR="00FC2478" w:rsidRPr="002A087A">
        <w:rPr>
          <w:lang w:eastAsia="zh-CN"/>
        </w:rPr>
        <w:t>This</w:t>
      </w:r>
      <w:r w:rsidR="006D5C65">
        <w:rPr>
          <w:lang w:eastAsia="zh-CN"/>
        </w:rPr>
        <w:t xml:space="preserve"> </w:t>
      </w:r>
      <w:r>
        <w:rPr>
          <w:lang w:eastAsia="zh-CN"/>
        </w:rPr>
        <w:t>contribution provides a new proposal</w:t>
      </w:r>
      <w:r w:rsidR="00FC2478" w:rsidRPr="002A087A">
        <w:rPr>
          <w:lang w:eastAsia="zh-CN"/>
        </w:rPr>
        <w:t>.</w:t>
      </w:r>
    </w:p>
    <w:p w14:paraId="20C22218" w14:textId="75B7FB9E" w:rsidR="00806C4E" w:rsidRDefault="00806C4E" w:rsidP="00806C4E">
      <w:pPr>
        <w:pStyle w:val="Heading1"/>
        <w:rPr>
          <w:lang w:eastAsia="ja-JP"/>
        </w:rPr>
      </w:pPr>
      <w:r>
        <w:rPr>
          <w:lang w:eastAsia="ja-JP"/>
        </w:rPr>
        <w:t>Discussion</w:t>
      </w:r>
    </w:p>
    <w:p w14:paraId="2E3CE4FE" w14:textId="263E82F0" w:rsidR="00D165ED" w:rsidRDefault="00D165ED" w:rsidP="00D165ED">
      <w:pPr>
        <w:rPr>
          <w:lang w:val="sv-SE" w:eastAsia="ja-JP"/>
        </w:rPr>
      </w:pPr>
      <w:r>
        <w:rPr>
          <w:lang w:val="sv-SE" w:eastAsia="ja-JP"/>
        </w:rPr>
        <w:t xml:space="preserve">Initial measurement on UMa channels from [2] is copied below and shows that the ratios between 10%-ile, 50%-ile and 90%-ile are not 9:5:1. CTMT measurement for UMi channels may manifest different ratios. </w:t>
      </w:r>
    </w:p>
    <w:p w14:paraId="3AA45AD1" w14:textId="77777777" w:rsidR="00D165ED" w:rsidRDefault="00D165ED" w:rsidP="00D165ED">
      <w:pPr>
        <w:pStyle w:val="Caption"/>
        <w:jc w:val="center"/>
      </w:pPr>
      <w:bookmarkStart w:id="1" w:name="_Ref197514893"/>
      <w:r>
        <w:t xml:space="preserve">Table </w:t>
      </w:r>
      <w:r>
        <w:fldChar w:fldCharType="begin"/>
      </w:r>
      <w:r>
        <w:instrText xml:space="preserve"> SEQ Table \* ARABIC </w:instrText>
      </w:r>
      <w:r>
        <w:fldChar w:fldCharType="separate"/>
      </w:r>
      <w:r>
        <w:rPr>
          <w:noProof/>
        </w:rPr>
        <w:t>1</w:t>
      </w:r>
      <w:r>
        <w:fldChar w:fldCharType="end"/>
      </w:r>
      <w:bookmarkEnd w:id="1"/>
      <w:r>
        <w:t>: Comparison of CTMT with CDF values from individual TP curves</w:t>
      </w:r>
    </w:p>
    <w:tbl>
      <w:tblPr>
        <w:tblW w:w="13634" w:type="dxa"/>
        <w:tblLook w:val="04A0" w:firstRow="1" w:lastRow="0" w:firstColumn="1" w:lastColumn="0" w:noHBand="0" w:noVBand="1"/>
      </w:tblPr>
      <w:tblGrid>
        <w:gridCol w:w="864"/>
        <w:gridCol w:w="701"/>
        <w:gridCol w:w="701"/>
        <w:gridCol w:w="701"/>
        <w:gridCol w:w="701"/>
        <w:gridCol w:w="701"/>
        <w:gridCol w:w="701"/>
        <w:gridCol w:w="701"/>
        <w:gridCol w:w="701"/>
        <w:gridCol w:w="701"/>
        <w:gridCol w:w="701"/>
        <w:gridCol w:w="701"/>
        <w:gridCol w:w="701"/>
        <w:gridCol w:w="701"/>
        <w:gridCol w:w="701"/>
        <w:gridCol w:w="701"/>
        <w:gridCol w:w="701"/>
        <w:gridCol w:w="701"/>
        <w:gridCol w:w="853"/>
      </w:tblGrid>
      <w:tr w:rsidR="00D165ED" w:rsidRPr="00577BAF" w14:paraId="4DAB6027" w14:textId="77777777" w:rsidTr="00877713">
        <w:trPr>
          <w:trHeight w:val="288"/>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CC603"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CDF %-ile</w:t>
            </w:r>
          </w:p>
        </w:tc>
        <w:tc>
          <w:tcPr>
            <w:tcW w:w="11917" w:type="dxa"/>
            <w:gridSpan w:val="17"/>
            <w:tcBorders>
              <w:top w:val="single" w:sz="4" w:space="0" w:color="auto"/>
              <w:left w:val="nil"/>
              <w:bottom w:val="single" w:sz="4" w:space="0" w:color="auto"/>
              <w:right w:val="single" w:sz="4" w:space="0" w:color="auto"/>
            </w:tcBorders>
            <w:shd w:val="clear" w:color="auto" w:fill="auto"/>
            <w:noWrap/>
            <w:vAlign w:val="bottom"/>
            <w:hideMark/>
          </w:tcPr>
          <w:p w14:paraId="0C8542E0"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CDF of TP Curves [Mbps]</w:t>
            </w:r>
          </w:p>
        </w:tc>
        <w:tc>
          <w:tcPr>
            <w:tcW w:w="85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F63406C"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CTMT</w:t>
            </w:r>
            <w:r w:rsidRPr="00577BAF">
              <w:rPr>
                <w:rFonts w:ascii="Aptos" w:hAnsi="Aptos"/>
                <w:b/>
                <w:bCs/>
                <w:color w:val="000000"/>
                <w:lang w:val="en-US"/>
              </w:rPr>
              <w:br/>
              <w:t>[Mbps]</w:t>
            </w:r>
          </w:p>
        </w:tc>
      </w:tr>
      <w:tr w:rsidR="00D165ED" w:rsidRPr="00577BAF" w14:paraId="1BDAE808" w14:textId="77777777" w:rsidTr="00877713">
        <w:trPr>
          <w:trHeight w:val="288"/>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429487D1" w14:textId="77777777" w:rsidR="00D165ED" w:rsidRPr="00577BAF" w:rsidRDefault="00D165ED" w:rsidP="00877713">
            <w:pPr>
              <w:spacing w:after="0"/>
              <w:rPr>
                <w:rFonts w:ascii="Aptos" w:hAnsi="Aptos"/>
                <w:b/>
                <w:bCs/>
                <w:color w:val="000000"/>
                <w:lang w:val="en-US"/>
              </w:rPr>
            </w:pPr>
          </w:p>
        </w:tc>
        <w:tc>
          <w:tcPr>
            <w:tcW w:w="28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572B39FC"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DML-Left</w:t>
            </w:r>
          </w:p>
        </w:tc>
        <w:tc>
          <w:tcPr>
            <w:tcW w:w="28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305C6951"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DMP</w:t>
            </w:r>
          </w:p>
        </w:tc>
        <w:tc>
          <w:tcPr>
            <w:tcW w:w="28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4410A10"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DMSU</w:t>
            </w:r>
          </w:p>
        </w:tc>
        <w:tc>
          <w:tcPr>
            <w:tcW w:w="28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2E2BE626"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DML-Right</w:t>
            </w:r>
          </w:p>
        </w:tc>
        <w:tc>
          <w:tcPr>
            <w:tcW w:w="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290D94"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AVG</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2FAD56F" w14:textId="77777777" w:rsidR="00D165ED" w:rsidRPr="00577BAF" w:rsidRDefault="00D165ED" w:rsidP="00877713">
            <w:pPr>
              <w:spacing w:after="0"/>
              <w:rPr>
                <w:rFonts w:ascii="Aptos" w:hAnsi="Aptos"/>
                <w:b/>
                <w:bCs/>
                <w:color w:val="000000"/>
                <w:lang w:val="en-US"/>
              </w:rPr>
            </w:pPr>
          </w:p>
        </w:tc>
      </w:tr>
      <w:tr w:rsidR="00D165ED" w:rsidRPr="00577BAF" w14:paraId="63FBCC31" w14:textId="77777777" w:rsidTr="00877713">
        <w:trPr>
          <w:trHeight w:val="288"/>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3804332E" w14:textId="77777777" w:rsidR="00D165ED" w:rsidRPr="00577BAF" w:rsidRDefault="00D165ED" w:rsidP="00877713">
            <w:pPr>
              <w:spacing w:after="0"/>
              <w:rPr>
                <w:rFonts w:ascii="Aptos" w:hAnsi="Aptos"/>
                <w:b/>
                <w:bCs/>
                <w:color w:val="000000"/>
                <w:lang w:val="en-US"/>
              </w:rPr>
            </w:pPr>
          </w:p>
        </w:tc>
        <w:tc>
          <w:tcPr>
            <w:tcW w:w="701" w:type="dxa"/>
            <w:tcBorders>
              <w:top w:val="nil"/>
              <w:left w:val="nil"/>
              <w:bottom w:val="single" w:sz="4" w:space="0" w:color="auto"/>
              <w:right w:val="single" w:sz="4" w:space="0" w:color="auto"/>
            </w:tcBorders>
            <w:shd w:val="clear" w:color="auto" w:fill="auto"/>
            <w:noWrap/>
            <w:vAlign w:val="bottom"/>
            <w:hideMark/>
          </w:tcPr>
          <w:p w14:paraId="142C2F00"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7E13CAD1"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90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5858C07D"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180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5FDD7252"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270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4D7797BE"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000539B5"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90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63837486"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180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451A131F"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270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145C56D2"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357B5F80"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90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590B8797"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180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2A5DA0BF"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270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64EC80A6"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60104229"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90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6AC70146"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180</w:t>
            </w:r>
            <w:r w:rsidRPr="00577BAF">
              <w:rPr>
                <w:rFonts w:ascii="Arial" w:hAnsi="Arial" w:cs="Arial"/>
                <w:b/>
                <w:bCs/>
                <w:color w:val="000000"/>
                <w:lang w:val="en-US"/>
              </w:rPr>
              <w:t>°</w:t>
            </w:r>
          </w:p>
        </w:tc>
        <w:tc>
          <w:tcPr>
            <w:tcW w:w="701" w:type="dxa"/>
            <w:tcBorders>
              <w:top w:val="nil"/>
              <w:left w:val="nil"/>
              <w:bottom w:val="single" w:sz="4" w:space="0" w:color="auto"/>
              <w:right w:val="single" w:sz="4" w:space="0" w:color="auto"/>
            </w:tcBorders>
            <w:shd w:val="clear" w:color="auto" w:fill="auto"/>
            <w:noWrap/>
            <w:vAlign w:val="bottom"/>
            <w:hideMark/>
          </w:tcPr>
          <w:p w14:paraId="6F88C739" w14:textId="77777777" w:rsidR="00D165ED" w:rsidRPr="00577BAF" w:rsidRDefault="00D165ED" w:rsidP="00877713">
            <w:pPr>
              <w:spacing w:after="0"/>
              <w:jc w:val="center"/>
              <w:rPr>
                <w:rFonts w:ascii="Aptos" w:hAnsi="Aptos"/>
                <w:b/>
                <w:bCs/>
                <w:color w:val="000000"/>
                <w:lang w:val="en-US"/>
              </w:rPr>
            </w:pPr>
            <w:r w:rsidRPr="00577BAF">
              <w:rPr>
                <w:rFonts w:ascii="Aptos" w:hAnsi="Aptos"/>
                <w:b/>
                <w:bCs/>
                <w:color w:val="000000"/>
                <w:lang w:val="en-US"/>
              </w:rPr>
              <w:t>270</w:t>
            </w:r>
            <w:r w:rsidRPr="00577BAF">
              <w:rPr>
                <w:rFonts w:ascii="Arial" w:hAnsi="Arial" w:cs="Arial"/>
                <w:b/>
                <w:bCs/>
                <w:color w:val="000000"/>
                <w:lang w:val="en-US"/>
              </w:rPr>
              <w:t>°</w:t>
            </w:r>
          </w:p>
        </w:tc>
        <w:tc>
          <w:tcPr>
            <w:tcW w:w="701" w:type="dxa"/>
            <w:vMerge/>
            <w:tcBorders>
              <w:top w:val="nil"/>
              <w:left w:val="single" w:sz="4" w:space="0" w:color="auto"/>
              <w:bottom w:val="single" w:sz="4" w:space="0" w:color="auto"/>
              <w:right w:val="single" w:sz="4" w:space="0" w:color="auto"/>
            </w:tcBorders>
            <w:vAlign w:val="center"/>
            <w:hideMark/>
          </w:tcPr>
          <w:p w14:paraId="6D4FCC04" w14:textId="77777777" w:rsidR="00D165ED" w:rsidRPr="00577BAF" w:rsidRDefault="00D165ED" w:rsidP="00877713">
            <w:pPr>
              <w:spacing w:after="0"/>
              <w:rPr>
                <w:rFonts w:ascii="Aptos" w:hAnsi="Aptos"/>
                <w:b/>
                <w:bCs/>
                <w:color w:val="000000"/>
                <w:lang w:val="en-US"/>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2952AE77" w14:textId="77777777" w:rsidR="00D165ED" w:rsidRPr="00577BAF" w:rsidRDefault="00D165ED" w:rsidP="00877713">
            <w:pPr>
              <w:spacing w:after="0"/>
              <w:rPr>
                <w:rFonts w:ascii="Aptos" w:hAnsi="Aptos"/>
                <w:b/>
                <w:bCs/>
                <w:color w:val="000000"/>
                <w:lang w:val="en-US"/>
              </w:rPr>
            </w:pPr>
          </w:p>
        </w:tc>
      </w:tr>
      <w:tr w:rsidR="00D165ED" w:rsidRPr="00577BAF" w14:paraId="6D7FEA3A" w14:textId="77777777" w:rsidTr="00877713">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4DD56026" w14:textId="77777777" w:rsidR="00D165ED" w:rsidRPr="00577BAF" w:rsidRDefault="00D165ED" w:rsidP="00877713">
            <w:pPr>
              <w:spacing w:after="0"/>
              <w:jc w:val="center"/>
              <w:rPr>
                <w:rFonts w:ascii="Aptos" w:hAnsi="Aptos"/>
                <w:color w:val="000000"/>
                <w:lang w:val="en-US"/>
              </w:rPr>
            </w:pPr>
            <w:r w:rsidRPr="00577BAF">
              <w:rPr>
                <w:rFonts w:ascii="Aptos" w:hAnsi="Aptos"/>
                <w:color w:val="000000"/>
                <w:lang w:val="en-US"/>
              </w:rPr>
              <w:t>10</w:t>
            </w:r>
          </w:p>
        </w:tc>
        <w:tc>
          <w:tcPr>
            <w:tcW w:w="701" w:type="dxa"/>
            <w:tcBorders>
              <w:top w:val="nil"/>
              <w:left w:val="nil"/>
              <w:bottom w:val="single" w:sz="4" w:space="0" w:color="auto"/>
              <w:right w:val="single" w:sz="4" w:space="0" w:color="auto"/>
            </w:tcBorders>
            <w:shd w:val="clear" w:color="auto" w:fill="auto"/>
            <w:noWrap/>
            <w:vAlign w:val="bottom"/>
            <w:hideMark/>
          </w:tcPr>
          <w:p w14:paraId="0DD65E4F"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62.7</w:t>
            </w:r>
          </w:p>
        </w:tc>
        <w:tc>
          <w:tcPr>
            <w:tcW w:w="701" w:type="dxa"/>
            <w:tcBorders>
              <w:top w:val="nil"/>
              <w:left w:val="nil"/>
              <w:bottom w:val="single" w:sz="4" w:space="0" w:color="auto"/>
              <w:right w:val="single" w:sz="4" w:space="0" w:color="auto"/>
            </w:tcBorders>
            <w:shd w:val="clear" w:color="auto" w:fill="auto"/>
            <w:noWrap/>
            <w:vAlign w:val="bottom"/>
            <w:hideMark/>
          </w:tcPr>
          <w:p w14:paraId="73ECC1A1"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63.2</w:t>
            </w:r>
          </w:p>
        </w:tc>
        <w:tc>
          <w:tcPr>
            <w:tcW w:w="701" w:type="dxa"/>
            <w:tcBorders>
              <w:top w:val="nil"/>
              <w:left w:val="nil"/>
              <w:bottom w:val="single" w:sz="4" w:space="0" w:color="auto"/>
              <w:right w:val="single" w:sz="4" w:space="0" w:color="auto"/>
            </w:tcBorders>
            <w:shd w:val="clear" w:color="auto" w:fill="auto"/>
            <w:noWrap/>
            <w:vAlign w:val="bottom"/>
            <w:hideMark/>
          </w:tcPr>
          <w:p w14:paraId="5CCD41E3"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59.9</w:t>
            </w:r>
          </w:p>
        </w:tc>
        <w:tc>
          <w:tcPr>
            <w:tcW w:w="701" w:type="dxa"/>
            <w:tcBorders>
              <w:top w:val="nil"/>
              <w:left w:val="nil"/>
              <w:bottom w:val="single" w:sz="4" w:space="0" w:color="auto"/>
              <w:right w:val="single" w:sz="4" w:space="0" w:color="auto"/>
            </w:tcBorders>
            <w:shd w:val="clear" w:color="auto" w:fill="auto"/>
            <w:noWrap/>
            <w:vAlign w:val="bottom"/>
            <w:hideMark/>
          </w:tcPr>
          <w:p w14:paraId="496579CE"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56.8</w:t>
            </w:r>
          </w:p>
        </w:tc>
        <w:tc>
          <w:tcPr>
            <w:tcW w:w="701" w:type="dxa"/>
            <w:tcBorders>
              <w:top w:val="nil"/>
              <w:left w:val="nil"/>
              <w:bottom w:val="single" w:sz="4" w:space="0" w:color="auto"/>
              <w:right w:val="single" w:sz="4" w:space="0" w:color="auto"/>
            </w:tcBorders>
            <w:shd w:val="clear" w:color="auto" w:fill="auto"/>
            <w:noWrap/>
            <w:vAlign w:val="bottom"/>
            <w:hideMark/>
          </w:tcPr>
          <w:p w14:paraId="54FEB398"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57.9</w:t>
            </w:r>
          </w:p>
        </w:tc>
        <w:tc>
          <w:tcPr>
            <w:tcW w:w="701" w:type="dxa"/>
            <w:tcBorders>
              <w:top w:val="nil"/>
              <w:left w:val="nil"/>
              <w:bottom w:val="single" w:sz="4" w:space="0" w:color="auto"/>
              <w:right w:val="single" w:sz="4" w:space="0" w:color="auto"/>
            </w:tcBorders>
            <w:shd w:val="clear" w:color="auto" w:fill="auto"/>
            <w:noWrap/>
            <w:vAlign w:val="bottom"/>
            <w:hideMark/>
          </w:tcPr>
          <w:p w14:paraId="4A3CAD4D"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63.2</w:t>
            </w:r>
          </w:p>
        </w:tc>
        <w:tc>
          <w:tcPr>
            <w:tcW w:w="701" w:type="dxa"/>
            <w:tcBorders>
              <w:top w:val="nil"/>
              <w:left w:val="nil"/>
              <w:bottom w:val="single" w:sz="4" w:space="0" w:color="auto"/>
              <w:right w:val="single" w:sz="4" w:space="0" w:color="auto"/>
            </w:tcBorders>
            <w:shd w:val="clear" w:color="auto" w:fill="auto"/>
            <w:noWrap/>
            <w:vAlign w:val="bottom"/>
            <w:hideMark/>
          </w:tcPr>
          <w:p w14:paraId="14D15012"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59.2</w:t>
            </w:r>
          </w:p>
        </w:tc>
        <w:tc>
          <w:tcPr>
            <w:tcW w:w="701" w:type="dxa"/>
            <w:tcBorders>
              <w:top w:val="nil"/>
              <w:left w:val="nil"/>
              <w:bottom w:val="single" w:sz="4" w:space="0" w:color="auto"/>
              <w:right w:val="single" w:sz="4" w:space="0" w:color="auto"/>
            </w:tcBorders>
            <w:shd w:val="clear" w:color="auto" w:fill="auto"/>
            <w:noWrap/>
            <w:vAlign w:val="bottom"/>
            <w:hideMark/>
          </w:tcPr>
          <w:p w14:paraId="3CF98800"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63.2</w:t>
            </w:r>
          </w:p>
        </w:tc>
        <w:tc>
          <w:tcPr>
            <w:tcW w:w="701" w:type="dxa"/>
            <w:tcBorders>
              <w:top w:val="nil"/>
              <w:left w:val="nil"/>
              <w:bottom w:val="single" w:sz="4" w:space="0" w:color="auto"/>
              <w:right w:val="single" w:sz="4" w:space="0" w:color="auto"/>
            </w:tcBorders>
            <w:shd w:val="clear" w:color="auto" w:fill="auto"/>
            <w:noWrap/>
            <w:vAlign w:val="bottom"/>
            <w:hideMark/>
          </w:tcPr>
          <w:p w14:paraId="4BE32A16"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48.7</w:t>
            </w:r>
          </w:p>
        </w:tc>
        <w:tc>
          <w:tcPr>
            <w:tcW w:w="701" w:type="dxa"/>
            <w:tcBorders>
              <w:top w:val="nil"/>
              <w:left w:val="nil"/>
              <w:bottom w:val="single" w:sz="4" w:space="0" w:color="auto"/>
              <w:right w:val="single" w:sz="4" w:space="0" w:color="auto"/>
            </w:tcBorders>
            <w:shd w:val="clear" w:color="auto" w:fill="auto"/>
            <w:noWrap/>
            <w:vAlign w:val="bottom"/>
            <w:hideMark/>
          </w:tcPr>
          <w:p w14:paraId="64D26FC6"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49.5</w:t>
            </w:r>
          </w:p>
        </w:tc>
        <w:tc>
          <w:tcPr>
            <w:tcW w:w="701" w:type="dxa"/>
            <w:tcBorders>
              <w:top w:val="nil"/>
              <w:left w:val="nil"/>
              <w:bottom w:val="single" w:sz="4" w:space="0" w:color="auto"/>
              <w:right w:val="single" w:sz="4" w:space="0" w:color="auto"/>
            </w:tcBorders>
            <w:shd w:val="clear" w:color="auto" w:fill="auto"/>
            <w:noWrap/>
            <w:vAlign w:val="bottom"/>
            <w:hideMark/>
          </w:tcPr>
          <w:p w14:paraId="7816DA57"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45.7</w:t>
            </w:r>
          </w:p>
        </w:tc>
        <w:tc>
          <w:tcPr>
            <w:tcW w:w="701" w:type="dxa"/>
            <w:tcBorders>
              <w:top w:val="nil"/>
              <w:left w:val="nil"/>
              <w:bottom w:val="single" w:sz="4" w:space="0" w:color="auto"/>
              <w:right w:val="single" w:sz="4" w:space="0" w:color="auto"/>
            </w:tcBorders>
            <w:shd w:val="clear" w:color="auto" w:fill="auto"/>
            <w:noWrap/>
            <w:vAlign w:val="bottom"/>
            <w:hideMark/>
          </w:tcPr>
          <w:p w14:paraId="1FC32C86"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54.0</w:t>
            </w:r>
          </w:p>
        </w:tc>
        <w:tc>
          <w:tcPr>
            <w:tcW w:w="701" w:type="dxa"/>
            <w:tcBorders>
              <w:top w:val="nil"/>
              <w:left w:val="nil"/>
              <w:bottom w:val="single" w:sz="4" w:space="0" w:color="auto"/>
              <w:right w:val="single" w:sz="4" w:space="0" w:color="auto"/>
            </w:tcBorders>
            <w:shd w:val="clear" w:color="auto" w:fill="auto"/>
            <w:noWrap/>
            <w:vAlign w:val="bottom"/>
            <w:hideMark/>
          </w:tcPr>
          <w:p w14:paraId="1D8FE055"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64.8</w:t>
            </w:r>
          </w:p>
        </w:tc>
        <w:tc>
          <w:tcPr>
            <w:tcW w:w="701" w:type="dxa"/>
            <w:tcBorders>
              <w:top w:val="nil"/>
              <w:left w:val="nil"/>
              <w:bottom w:val="single" w:sz="4" w:space="0" w:color="auto"/>
              <w:right w:val="single" w:sz="4" w:space="0" w:color="auto"/>
            </w:tcBorders>
            <w:shd w:val="clear" w:color="auto" w:fill="auto"/>
            <w:noWrap/>
            <w:vAlign w:val="bottom"/>
            <w:hideMark/>
          </w:tcPr>
          <w:p w14:paraId="339DD394"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53.5</w:t>
            </w:r>
          </w:p>
        </w:tc>
        <w:tc>
          <w:tcPr>
            <w:tcW w:w="701" w:type="dxa"/>
            <w:tcBorders>
              <w:top w:val="nil"/>
              <w:left w:val="nil"/>
              <w:bottom w:val="single" w:sz="4" w:space="0" w:color="auto"/>
              <w:right w:val="single" w:sz="4" w:space="0" w:color="auto"/>
            </w:tcBorders>
            <w:shd w:val="clear" w:color="auto" w:fill="auto"/>
            <w:noWrap/>
            <w:vAlign w:val="bottom"/>
            <w:hideMark/>
          </w:tcPr>
          <w:p w14:paraId="48CA9F2B"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69.2</w:t>
            </w:r>
          </w:p>
        </w:tc>
        <w:tc>
          <w:tcPr>
            <w:tcW w:w="701" w:type="dxa"/>
            <w:tcBorders>
              <w:top w:val="nil"/>
              <w:left w:val="nil"/>
              <w:bottom w:val="single" w:sz="4" w:space="0" w:color="auto"/>
              <w:right w:val="single" w:sz="4" w:space="0" w:color="auto"/>
            </w:tcBorders>
            <w:shd w:val="clear" w:color="auto" w:fill="auto"/>
            <w:noWrap/>
            <w:vAlign w:val="bottom"/>
            <w:hideMark/>
          </w:tcPr>
          <w:p w14:paraId="20491CA0"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69.1</w:t>
            </w:r>
          </w:p>
        </w:tc>
        <w:tc>
          <w:tcPr>
            <w:tcW w:w="701" w:type="dxa"/>
            <w:tcBorders>
              <w:top w:val="nil"/>
              <w:left w:val="nil"/>
              <w:bottom w:val="single" w:sz="4" w:space="0" w:color="auto"/>
              <w:right w:val="single" w:sz="4" w:space="0" w:color="auto"/>
            </w:tcBorders>
            <w:shd w:val="clear" w:color="auto" w:fill="auto"/>
            <w:noWrap/>
            <w:vAlign w:val="bottom"/>
            <w:hideMark/>
          </w:tcPr>
          <w:p w14:paraId="2FDBDE19"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58.8</w:t>
            </w:r>
          </w:p>
        </w:tc>
        <w:tc>
          <w:tcPr>
            <w:tcW w:w="853" w:type="dxa"/>
            <w:tcBorders>
              <w:top w:val="nil"/>
              <w:left w:val="nil"/>
              <w:bottom w:val="single" w:sz="4" w:space="0" w:color="auto"/>
              <w:right w:val="single" w:sz="4" w:space="0" w:color="auto"/>
            </w:tcBorders>
            <w:shd w:val="clear" w:color="auto" w:fill="auto"/>
            <w:noWrap/>
            <w:vAlign w:val="bottom"/>
            <w:hideMark/>
          </w:tcPr>
          <w:p w14:paraId="20E432DC"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56.5</w:t>
            </w:r>
          </w:p>
        </w:tc>
      </w:tr>
      <w:tr w:rsidR="00D165ED" w:rsidRPr="00577BAF" w14:paraId="75086364" w14:textId="77777777" w:rsidTr="00877713">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F4997C6" w14:textId="77777777" w:rsidR="00D165ED" w:rsidRPr="00577BAF" w:rsidRDefault="00D165ED" w:rsidP="00877713">
            <w:pPr>
              <w:spacing w:after="0"/>
              <w:jc w:val="center"/>
              <w:rPr>
                <w:rFonts w:ascii="Aptos" w:hAnsi="Aptos"/>
                <w:color w:val="000000"/>
                <w:lang w:val="en-US"/>
              </w:rPr>
            </w:pPr>
            <w:r w:rsidRPr="00577BAF">
              <w:rPr>
                <w:rFonts w:ascii="Aptos" w:hAnsi="Aptos"/>
                <w:color w:val="000000"/>
                <w:lang w:val="en-US"/>
              </w:rPr>
              <w:t>50</w:t>
            </w:r>
          </w:p>
        </w:tc>
        <w:tc>
          <w:tcPr>
            <w:tcW w:w="701" w:type="dxa"/>
            <w:tcBorders>
              <w:top w:val="nil"/>
              <w:left w:val="nil"/>
              <w:bottom w:val="single" w:sz="4" w:space="0" w:color="auto"/>
              <w:right w:val="single" w:sz="4" w:space="0" w:color="auto"/>
            </w:tcBorders>
            <w:shd w:val="clear" w:color="auto" w:fill="auto"/>
            <w:noWrap/>
            <w:vAlign w:val="bottom"/>
            <w:hideMark/>
          </w:tcPr>
          <w:p w14:paraId="25506591"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157.4</w:t>
            </w:r>
          </w:p>
        </w:tc>
        <w:tc>
          <w:tcPr>
            <w:tcW w:w="701" w:type="dxa"/>
            <w:tcBorders>
              <w:top w:val="nil"/>
              <w:left w:val="nil"/>
              <w:bottom w:val="single" w:sz="4" w:space="0" w:color="auto"/>
              <w:right w:val="single" w:sz="4" w:space="0" w:color="auto"/>
            </w:tcBorders>
            <w:shd w:val="clear" w:color="auto" w:fill="auto"/>
            <w:noWrap/>
            <w:vAlign w:val="bottom"/>
            <w:hideMark/>
          </w:tcPr>
          <w:p w14:paraId="18552EF7"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157.3</w:t>
            </w:r>
          </w:p>
        </w:tc>
        <w:tc>
          <w:tcPr>
            <w:tcW w:w="701" w:type="dxa"/>
            <w:tcBorders>
              <w:top w:val="nil"/>
              <w:left w:val="nil"/>
              <w:bottom w:val="single" w:sz="4" w:space="0" w:color="auto"/>
              <w:right w:val="single" w:sz="4" w:space="0" w:color="auto"/>
            </w:tcBorders>
            <w:shd w:val="clear" w:color="auto" w:fill="auto"/>
            <w:noWrap/>
            <w:vAlign w:val="bottom"/>
            <w:hideMark/>
          </w:tcPr>
          <w:p w14:paraId="16F7718E"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169.9</w:t>
            </w:r>
          </w:p>
        </w:tc>
        <w:tc>
          <w:tcPr>
            <w:tcW w:w="701" w:type="dxa"/>
            <w:tcBorders>
              <w:top w:val="nil"/>
              <w:left w:val="nil"/>
              <w:bottom w:val="single" w:sz="4" w:space="0" w:color="auto"/>
              <w:right w:val="single" w:sz="4" w:space="0" w:color="auto"/>
            </w:tcBorders>
            <w:shd w:val="clear" w:color="auto" w:fill="auto"/>
            <w:noWrap/>
            <w:vAlign w:val="bottom"/>
            <w:hideMark/>
          </w:tcPr>
          <w:p w14:paraId="2DCC146D"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165.6</w:t>
            </w:r>
          </w:p>
        </w:tc>
        <w:tc>
          <w:tcPr>
            <w:tcW w:w="701" w:type="dxa"/>
            <w:tcBorders>
              <w:top w:val="nil"/>
              <w:left w:val="nil"/>
              <w:bottom w:val="single" w:sz="4" w:space="0" w:color="auto"/>
              <w:right w:val="single" w:sz="4" w:space="0" w:color="auto"/>
            </w:tcBorders>
            <w:shd w:val="clear" w:color="auto" w:fill="auto"/>
            <w:noWrap/>
            <w:vAlign w:val="bottom"/>
            <w:hideMark/>
          </w:tcPr>
          <w:p w14:paraId="09386A26"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157.1</w:t>
            </w:r>
          </w:p>
        </w:tc>
        <w:tc>
          <w:tcPr>
            <w:tcW w:w="701" w:type="dxa"/>
            <w:tcBorders>
              <w:top w:val="nil"/>
              <w:left w:val="nil"/>
              <w:bottom w:val="single" w:sz="4" w:space="0" w:color="auto"/>
              <w:right w:val="single" w:sz="4" w:space="0" w:color="auto"/>
            </w:tcBorders>
            <w:shd w:val="clear" w:color="auto" w:fill="auto"/>
            <w:noWrap/>
            <w:vAlign w:val="bottom"/>
            <w:hideMark/>
          </w:tcPr>
          <w:p w14:paraId="544CF165"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157.7</w:t>
            </w:r>
          </w:p>
        </w:tc>
        <w:tc>
          <w:tcPr>
            <w:tcW w:w="701" w:type="dxa"/>
            <w:tcBorders>
              <w:top w:val="nil"/>
              <w:left w:val="nil"/>
              <w:bottom w:val="single" w:sz="4" w:space="0" w:color="auto"/>
              <w:right w:val="single" w:sz="4" w:space="0" w:color="auto"/>
            </w:tcBorders>
            <w:shd w:val="clear" w:color="auto" w:fill="auto"/>
            <w:noWrap/>
            <w:vAlign w:val="bottom"/>
            <w:hideMark/>
          </w:tcPr>
          <w:p w14:paraId="26D5955F"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157.2</w:t>
            </w:r>
          </w:p>
        </w:tc>
        <w:tc>
          <w:tcPr>
            <w:tcW w:w="701" w:type="dxa"/>
            <w:tcBorders>
              <w:top w:val="nil"/>
              <w:left w:val="nil"/>
              <w:bottom w:val="single" w:sz="4" w:space="0" w:color="auto"/>
              <w:right w:val="single" w:sz="4" w:space="0" w:color="auto"/>
            </w:tcBorders>
            <w:shd w:val="clear" w:color="auto" w:fill="auto"/>
            <w:noWrap/>
            <w:vAlign w:val="bottom"/>
            <w:hideMark/>
          </w:tcPr>
          <w:p w14:paraId="6AD023A4"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161.0</w:t>
            </w:r>
          </w:p>
        </w:tc>
        <w:tc>
          <w:tcPr>
            <w:tcW w:w="701" w:type="dxa"/>
            <w:tcBorders>
              <w:top w:val="nil"/>
              <w:left w:val="nil"/>
              <w:bottom w:val="single" w:sz="4" w:space="0" w:color="auto"/>
              <w:right w:val="single" w:sz="4" w:space="0" w:color="auto"/>
            </w:tcBorders>
            <w:shd w:val="clear" w:color="auto" w:fill="auto"/>
            <w:noWrap/>
            <w:vAlign w:val="bottom"/>
            <w:hideMark/>
          </w:tcPr>
          <w:p w14:paraId="4DF44B61"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125.0</w:t>
            </w:r>
          </w:p>
        </w:tc>
        <w:tc>
          <w:tcPr>
            <w:tcW w:w="701" w:type="dxa"/>
            <w:tcBorders>
              <w:top w:val="nil"/>
              <w:left w:val="nil"/>
              <w:bottom w:val="single" w:sz="4" w:space="0" w:color="auto"/>
              <w:right w:val="single" w:sz="4" w:space="0" w:color="auto"/>
            </w:tcBorders>
            <w:shd w:val="clear" w:color="auto" w:fill="auto"/>
            <w:noWrap/>
            <w:vAlign w:val="bottom"/>
            <w:hideMark/>
          </w:tcPr>
          <w:p w14:paraId="2FFCAB5F"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150.3</w:t>
            </w:r>
          </w:p>
        </w:tc>
        <w:tc>
          <w:tcPr>
            <w:tcW w:w="701" w:type="dxa"/>
            <w:tcBorders>
              <w:top w:val="nil"/>
              <w:left w:val="nil"/>
              <w:bottom w:val="single" w:sz="4" w:space="0" w:color="auto"/>
              <w:right w:val="single" w:sz="4" w:space="0" w:color="auto"/>
            </w:tcBorders>
            <w:shd w:val="clear" w:color="auto" w:fill="auto"/>
            <w:noWrap/>
            <w:vAlign w:val="bottom"/>
            <w:hideMark/>
          </w:tcPr>
          <w:p w14:paraId="0B471AE8"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148.6</w:t>
            </w:r>
          </w:p>
        </w:tc>
        <w:tc>
          <w:tcPr>
            <w:tcW w:w="701" w:type="dxa"/>
            <w:tcBorders>
              <w:top w:val="nil"/>
              <w:left w:val="nil"/>
              <w:bottom w:val="single" w:sz="4" w:space="0" w:color="auto"/>
              <w:right w:val="single" w:sz="4" w:space="0" w:color="auto"/>
            </w:tcBorders>
            <w:shd w:val="clear" w:color="auto" w:fill="auto"/>
            <w:noWrap/>
            <w:vAlign w:val="bottom"/>
            <w:hideMark/>
          </w:tcPr>
          <w:p w14:paraId="41DFDD05"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131.6</w:t>
            </w:r>
          </w:p>
        </w:tc>
        <w:tc>
          <w:tcPr>
            <w:tcW w:w="701" w:type="dxa"/>
            <w:tcBorders>
              <w:top w:val="nil"/>
              <w:left w:val="nil"/>
              <w:bottom w:val="single" w:sz="4" w:space="0" w:color="auto"/>
              <w:right w:val="single" w:sz="4" w:space="0" w:color="auto"/>
            </w:tcBorders>
            <w:shd w:val="clear" w:color="auto" w:fill="auto"/>
            <w:noWrap/>
            <w:vAlign w:val="bottom"/>
            <w:hideMark/>
          </w:tcPr>
          <w:p w14:paraId="442EDF22"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173.6</w:t>
            </w:r>
          </w:p>
        </w:tc>
        <w:tc>
          <w:tcPr>
            <w:tcW w:w="701" w:type="dxa"/>
            <w:tcBorders>
              <w:top w:val="nil"/>
              <w:left w:val="nil"/>
              <w:bottom w:val="single" w:sz="4" w:space="0" w:color="auto"/>
              <w:right w:val="single" w:sz="4" w:space="0" w:color="auto"/>
            </w:tcBorders>
            <w:shd w:val="clear" w:color="auto" w:fill="auto"/>
            <w:noWrap/>
            <w:vAlign w:val="bottom"/>
            <w:hideMark/>
          </w:tcPr>
          <w:p w14:paraId="5532FEC8"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157.3</w:t>
            </w:r>
          </w:p>
        </w:tc>
        <w:tc>
          <w:tcPr>
            <w:tcW w:w="701" w:type="dxa"/>
            <w:tcBorders>
              <w:top w:val="nil"/>
              <w:left w:val="nil"/>
              <w:bottom w:val="single" w:sz="4" w:space="0" w:color="auto"/>
              <w:right w:val="single" w:sz="4" w:space="0" w:color="auto"/>
            </w:tcBorders>
            <w:shd w:val="clear" w:color="auto" w:fill="auto"/>
            <w:noWrap/>
            <w:vAlign w:val="bottom"/>
            <w:hideMark/>
          </w:tcPr>
          <w:p w14:paraId="206519EC"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156.5</w:t>
            </w:r>
          </w:p>
        </w:tc>
        <w:tc>
          <w:tcPr>
            <w:tcW w:w="701" w:type="dxa"/>
            <w:tcBorders>
              <w:top w:val="nil"/>
              <w:left w:val="nil"/>
              <w:bottom w:val="single" w:sz="4" w:space="0" w:color="auto"/>
              <w:right w:val="single" w:sz="4" w:space="0" w:color="auto"/>
            </w:tcBorders>
            <w:shd w:val="clear" w:color="auto" w:fill="auto"/>
            <w:noWrap/>
            <w:vAlign w:val="bottom"/>
            <w:hideMark/>
          </w:tcPr>
          <w:p w14:paraId="61A02F5A"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164.8</w:t>
            </w:r>
          </w:p>
        </w:tc>
        <w:tc>
          <w:tcPr>
            <w:tcW w:w="701" w:type="dxa"/>
            <w:tcBorders>
              <w:top w:val="nil"/>
              <w:left w:val="nil"/>
              <w:bottom w:val="single" w:sz="4" w:space="0" w:color="auto"/>
              <w:right w:val="single" w:sz="4" w:space="0" w:color="auto"/>
            </w:tcBorders>
            <w:shd w:val="clear" w:color="auto" w:fill="auto"/>
            <w:noWrap/>
            <w:vAlign w:val="bottom"/>
            <w:hideMark/>
          </w:tcPr>
          <w:p w14:paraId="59456783"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155.7</w:t>
            </w:r>
          </w:p>
        </w:tc>
        <w:tc>
          <w:tcPr>
            <w:tcW w:w="853" w:type="dxa"/>
            <w:tcBorders>
              <w:top w:val="nil"/>
              <w:left w:val="nil"/>
              <w:bottom w:val="single" w:sz="4" w:space="0" w:color="auto"/>
              <w:right w:val="single" w:sz="4" w:space="0" w:color="auto"/>
            </w:tcBorders>
            <w:shd w:val="clear" w:color="auto" w:fill="auto"/>
            <w:noWrap/>
            <w:vAlign w:val="bottom"/>
            <w:hideMark/>
          </w:tcPr>
          <w:p w14:paraId="56A0E1EF"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156.4</w:t>
            </w:r>
          </w:p>
        </w:tc>
      </w:tr>
      <w:tr w:rsidR="00D165ED" w:rsidRPr="00577BAF" w14:paraId="35F26C37" w14:textId="77777777" w:rsidTr="00877713">
        <w:trPr>
          <w:trHeight w:val="288"/>
        </w:trPr>
        <w:tc>
          <w:tcPr>
            <w:tcW w:w="864" w:type="dxa"/>
            <w:tcBorders>
              <w:top w:val="nil"/>
              <w:left w:val="single" w:sz="4" w:space="0" w:color="auto"/>
              <w:bottom w:val="single" w:sz="4" w:space="0" w:color="auto"/>
              <w:right w:val="single" w:sz="4" w:space="0" w:color="auto"/>
            </w:tcBorders>
            <w:shd w:val="clear" w:color="auto" w:fill="auto"/>
            <w:noWrap/>
            <w:vAlign w:val="bottom"/>
            <w:hideMark/>
          </w:tcPr>
          <w:p w14:paraId="5DD9DDCD" w14:textId="77777777" w:rsidR="00D165ED" w:rsidRPr="00577BAF" w:rsidRDefault="00D165ED" w:rsidP="00877713">
            <w:pPr>
              <w:spacing w:after="0"/>
              <w:jc w:val="center"/>
              <w:rPr>
                <w:rFonts w:ascii="Aptos" w:hAnsi="Aptos"/>
                <w:color w:val="000000"/>
                <w:lang w:val="en-US"/>
              </w:rPr>
            </w:pPr>
            <w:r w:rsidRPr="00577BAF">
              <w:rPr>
                <w:rFonts w:ascii="Aptos" w:hAnsi="Aptos"/>
                <w:color w:val="000000"/>
                <w:lang w:val="en-US"/>
              </w:rPr>
              <w:t>90</w:t>
            </w:r>
          </w:p>
        </w:tc>
        <w:tc>
          <w:tcPr>
            <w:tcW w:w="701" w:type="dxa"/>
            <w:tcBorders>
              <w:top w:val="nil"/>
              <w:left w:val="nil"/>
              <w:bottom w:val="single" w:sz="4" w:space="0" w:color="auto"/>
              <w:right w:val="single" w:sz="4" w:space="0" w:color="auto"/>
            </w:tcBorders>
            <w:shd w:val="clear" w:color="auto" w:fill="auto"/>
            <w:noWrap/>
            <w:vAlign w:val="bottom"/>
            <w:hideMark/>
          </w:tcPr>
          <w:p w14:paraId="0A1EDFA9"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381.2</w:t>
            </w:r>
          </w:p>
        </w:tc>
        <w:tc>
          <w:tcPr>
            <w:tcW w:w="701" w:type="dxa"/>
            <w:tcBorders>
              <w:top w:val="nil"/>
              <w:left w:val="nil"/>
              <w:bottom w:val="single" w:sz="4" w:space="0" w:color="auto"/>
              <w:right w:val="single" w:sz="4" w:space="0" w:color="auto"/>
            </w:tcBorders>
            <w:shd w:val="clear" w:color="auto" w:fill="auto"/>
            <w:noWrap/>
            <w:vAlign w:val="bottom"/>
            <w:hideMark/>
          </w:tcPr>
          <w:p w14:paraId="5D77163B"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435.4</w:t>
            </w:r>
          </w:p>
        </w:tc>
        <w:tc>
          <w:tcPr>
            <w:tcW w:w="701" w:type="dxa"/>
            <w:tcBorders>
              <w:top w:val="nil"/>
              <w:left w:val="nil"/>
              <w:bottom w:val="single" w:sz="4" w:space="0" w:color="auto"/>
              <w:right w:val="single" w:sz="4" w:space="0" w:color="auto"/>
            </w:tcBorders>
            <w:shd w:val="clear" w:color="auto" w:fill="auto"/>
            <w:noWrap/>
            <w:vAlign w:val="bottom"/>
            <w:hideMark/>
          </w:tcPr>
          <w:p w14:paraId="3C9CCC58"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429.3</w:t>
            </w:r>
          </w:p>
        </w:tc>
        <w:tc>
          <w:tcPr>
            <w:tcW w:w="701" w:type="dxa"/>
            <w:tcBorders>
              <w:top w:val="nil"/>
              <w:left w:val="nil"/>
              <w:bottom w:val="single" w:sz="4" w:space="0" w:color="auto"/>
              <w:right w:val="single" w:sz="4" w:space="0" w:color="auto"/>
            </w:tcBorders>
            <w:shd w:val="clear" w:color="auto" w:fill="auto"/>
            <w:noWrap/>
            <w:vAlign w:val="bottom"/>
            <w:hideMark/>
          </w:tcPr>
          <w:p w14:paraId="66582FEC"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378.5</w:t>
            </w:r>
          </w:p>
        </w:tc>
        <w:tc>
          <w:tcPr>
            <w:tcW w:w="701" w:type="dxa"/>
            <w:tcBorders>
              <w:top w:val="nil"/>
              <w:left w:val="nil"/>
              <w:bottom w:val="single" w:sz="4" w:space="0" w:color="auto"/>
              <w:right w:val="single" w:sz="4" w:space="0" w:color="auto"/>
            </w:tcBorders>
            <w:shd w:val="clear" w:color="auto" w:fill="auto"/>
            <w:noWrap/>
            <w:vAlign w:val="bottom"/>
            <w:hideMark/>
          </w:tcPr>
          <w:p w14:paraId="60335669"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395.1</w:t>
            </w:r>
          </w:p>
        </w:tc>
        <w:tc>
          <w:tcPr>
            <w:tcW w:w="701" w:type="dxa"/>
            <w:tcBorders>
              <w:top w:val="nil"/>
              <w:left w:val="nil"/>
              <w:bottom w:val="single" w:sz="4" w:space="0" w:color="auto"/>
              <w:right w:val="single" w:sz="4" w:space="0" w:color="auto"/>
            </w:tcBorders>
            <w:shd w:val="clear" w:color="auto" w:fill="auto"/>
            <w:noWrap/>
            <w:vAlign w:val="bottom"/>
            <w:hideMark/>
          </w:tcPr>
          <w:p w14:paraId="2C86E6A4"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382.7</w:t>
            </w:r>
          </w:p>
        </w:tc>
        <w:tc>
          <w:tcPr>
            <w:tcW w:w="701" w:type="dxa"/>
            <w:tcBorders>
              <w:top w:val="nil"/>
              <w:left w:val="nil"/>
              <w:bottom w:val="single" w:sz="4" w:space="0" w:color="auto"/>
              <w:right w:val="single" w:sz="4" w:space="0" w:color="auto"/>
            </w:tcBorders>
            <w:shd w:val="clear" w:color="auto" w:fill="auto"/>
            <w:noWrap/>
            <w:vAlign w:val="bottom"/>
            <w:hideMark/>
          </w:tcPr>
          <w:p w14:paraId="4E4AFC04"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393.2</w:t>
            </w:r>
          </w:p>
        </w:tc>
        <w:tc>
          <w:tcPr>
            <w:tcW w:w="701" w:type="dxa"/>
            <w:tcBorders>
              <w:top w:val="nil"/>
              <w:left w:val="nil"/>
              <w:bottom w:val="single" w:sz="4" w:space="0" w:color="auto"/>
              <w:right w:val="single" w:sz="4" w:space="0" w:color="auto"/>
            </w:tcBorders>
            <w:shd w:val="clear" w:color="auto" w:fill="auto"/>
            <w:noWrap/>
            <w:vAlign w:val="bottom"/>
            <w:hideMark/>
          </w:tcPr>
          <w:p w14:paraId="2DB30883"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392.7</w:t>
            </w:r>
          </w:p>
        </w:tc>
        <w:tc>
          <w:tcPr>
            <w:tcW w:w="701" w:type="dxa"/>
            <w:tcBorders>
              <w:top w:val="nil"/>
              <w:left w:val="nil"/>
              <w:bottom w:val="single" w:sz="4" w:space="0" w:color="auto"/>
              <w:right w:val="single" w:sz="4" w:space="0" w:color="auto"/>
            </w:tcBorders>
            <w:shd w:val="clear" w:color="auto" w:fill="auto"/>
            <w:noWrap/>
            <w:vAlign w:val="bottom"/>
            <w:hideMark/>
          </w:tcPr>
          <w:p w14:paraId="485A4203"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431.1</w:t>
            </w:r>
          </w:p>
        </w:tc>
        <w:tc>
          <w:tcPr>
            <w:tcW w:w="701" w:type="dxa"/>
            <w:tcBorders>
              <w:top w:val="nil"/>
              <w:left w:val="nil"/>
              <w:bottom w:val="single" w:sz="4" w:space="0" w:color="auto"/>
              <w:right w:val="single" w:sz="4" w:space="0" w:color="auto"/>
            </w:tcBorders>
            <w:shd w:val="clear" w:color="auto" w:fill="auto"/>
            <w:noWrap/>
            <w:vAlign w:val="bottom"/>
            <w:hideMark/>
          </w:tcPr>
          <w:p w14:paraId="49A33E50"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439.3</w:t>
            </w:r>
          </w:p>
        </w:tc>
        <w:tc>
          <w:tcPr>
            <w:tcW w:w="701" w:type="dxa"/>
            <w:tcBorders>
              <w:top w:val="nil"/>
              <w:left w:val="nil"/>
              <w:bottom w:val="single" w:sz="4" w:space="0" w:color="auto"/>
              <w:right w:val="single" w:sz="4" w:space="0" w:color="auto"/>
            </w:tcBorders>
            <w:shd w:val="clear" w:color="auto" w:fill="auto"/>
            <w:noWrap/>
            <w:vAlign w:val="bottom"/>
            <w:hideMark/>
          </w:tcPr>
          <w:p w14:paraId="169A5902"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378.3</w:t>
            </w:r>
          </w:p>
        </w:tc>
        <w:tc>
          <w:tcPr>
            <w:tcW w:w="701" w:type="dxa"/>
            <w:tcBorders>
              <w:top w:val="nil"/>
              <w:left w:val="nil"/>
              <w:bottom w:val="single" w:sz="4" w:space="0" w:color="auto"/>
              <w:right w:val="single" w:sz="4" w:space="0" w:color="auto"/>
            </w:tcBorders>
            <w:shd w:val="clear" w:color="auto" w:fill="auto"/>
            <w:noWrap/>
            <w:vAlign w:val="bottom"/>
            <w:hideMark/>
          </w:tcPr>
          <w:p w14:paraId="3A556251"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407.0</w:t>
            </w:r>
          </w:p>
        </w:tc>
        <w:tc>
          <w:tcPr>
            <w:tcW w:w="701" w:type="dxa"/>
            <w:tcBorders>
              <w:top w:val="nil"/>
              <w:left w:val="nil"/>
              <w:bottom w:val="single" w:sz="4" w:space="0" w:color="auto"/>
              <w:right w:val="single" w:sz="4" w:space="0" w:color="auto"/>
            </w:tcBorders>
            <w:shd w:val="clear" w:color="auto" w:fill="auto"/>
            <w:noWrap/>
            <w:vAlign w:val="bottom"/>
            <w:hideMark/>
          </w:tcPr>
          <w:p w14:paraId="78A986ED"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439.3</w:t>
            </w:r>
          </w:p>
        </w:tc>
        <w:tc>
          <w:tcPr>
            <w:tcW w:w="701" w:type="dxa"/>
            <w:tcBorders>
              <w:top w:val="nil"/>
              <w:left w:val="nil"/>
              <w:bottom w:val="single" w:sz="4" w:space="0" w:color="auto"/>
              <w:right w:val="single" w:sz="4" w:space="0" w:color="auto"/>
            </w:tcBorders>
            <w:shd w:val="clear" w:color="auto" w:fill="auto"/>
            <w:noWrap/>
            <w:vAlign w:val="bottom"/>
            <w:hideMark/>
          </w:tcPr>
          <w:p w14:paraId="1AAA3992"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416.8</w:t>
            </w:r>
          </w:p>
        </w:tc>
        <w:tc>
          <w:tcPr>
            <w:tcW w:w="701" w:type="dxa"/>
            <w:tcBorders>
              <w:top w:val="nil"/>
              <w:left w:val="nil"/>
              <w:bottom w:val="single" w:sz="4" w:space="0" w:color="auto"/>
              <w:right w:val="single" w:sz="4" w:space="0" w:color="auto"/>
            </w:tcBorders>
            <w:shd w:val="clear" w:color="auto" w:fill="auto"/>
            <w:noWrap/>
            <w:vAlign w:val="bottom"/>
            <w:hideMark/>
          </w:tcPr>
          <w:p w14:paraId="0F6F591A"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378.3</w:t>
            </w:r>
          </w:p>
        </w:tc>
        <w:tc>
          <w:tcPr>
            <w:tcW w:w="701" w:type="dxa"/>
            <w:tcBorders>
              <w:top w:val="nil"/>
              <w:left w:val="nil"/>
              <w:bottom w:val="single" w:sz="4" w:space="0" w:color="auto"/>
              <w:right w:val="single" w:sz="4" w:space="0" w:color="auto"/>
            </w:tcBorders>
            <w:shd w:val="clear" w:color="auto" w:fill="auto"/>
            <w:noWrap/>
            <w:vAlign w:val="bottom"/>
            <w:hideMark/>
          </w:tcPr>
          <w:p w14:paraId="3DBA03BA"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426.4</w:t>
            </w:r>
          </w:p>
        </w:tc>
        <w:tc>
          <w:tcPr>
            <w:tcW w:w="701" w:type="dxa"/>
            <w:tcBorders>
              <w:top w:val="nil"/>
              <w:left w:val="nil"/>
              <w:bottom w:val="single" w:sz="4" w:space="0" w:color="auto"/>
              <w:right w:val="single" w:sz="4" w:space="0" w:color="auto"/>
            </w:tcBorders>
            <w:shd w:val="clear" w:color="auto" w:fill="auto"/>
            <w:noWrap/>
            <w:vAlign w:val="bottom"/>
            <w:hideMark/>
          </w:tcPr>
          <w:p w14:paraId="242DC2C6"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406.5</w:t>
            </w:r>
          </w:p>
        </w:tc>
        <w:tc>
          <w:tcPr>
            <w:tcW w:w="853" w:type="dxa"/>
            <w:tcBorders>
              <w:top w:val="nil"/>
              <w:left w:val="nil"/>
              <w:bottom w:val="single" w:sz="4" w:space="0" w:color="auto"/>
              <w:right w:val="single" w:sz="4" w:space="0" w:color="auto"/>
            </w:tcBorders>
            <w:shd w:val="clear" w:color="auto" w:fill="auto"/>
            <w:noWrap/>
            <w:vAlign w:val="bottom"/>
            <w:hideMark/>
          </w:tcPr>
          <w:p w14:paraId="0A95F55B" w14:textId="77777777" w:rsidR="00D165ED" w:rsidRPr="00577BAF" w:rsidRDefault="00D165ED" w:rsidP="00877713">
            <w:pPr>
              <w:spacing w:after="0"/>
              <w:jc w:val="right"/>
              <w:rPr>
                <w:rFonts w:ascii="Aptos" w:hAnsi="Aptos"/>
                <w:color w:val="000000"/>
                <w:lang w:val="en-US"/>
              </w:rPr>
            </w:pPr>
            <w:r w:rsidRPr="00577BAF">
              <w:rPr>
                <w:rFonts w:ascii="Aptos" w:hAnsi="Aptos"/>
                <w:color w:val="000000"/>
                <w:lang w:val="en-US"/>
              </w:rPr>
              <w:t>420.7</w:t>
            </w:r>
          </w:p>
        </w:tc>
      </w:tr>
    </w:tbl>
    <w:p w14:paraId="302E50C0" w14:textId="77777777" w:rsidR="00D165ED" w:rsidRPr="00547DFB" w:rsidRDefault="00D165ED" w:rsidP="00D165ED"/>
    <w:p w14:paraId="36045DE3" w14:textId="77777777" w:rsidR="001D69DA" w:rsidRDefault="00D165ED" w:rsidP="00D165ED">
      <w:pPr>
        <w:rPr>
          <w:lang w:val="sv-SE" w:eastAsia="ja-JP"/>
        </w:rPr>
      </w:pPr>
      <w:r>
        <w:rPr>
          <w:lang w:val="sv-SE" w:eastAsia="ja-JP"/>
        </w:rPr>
        <w:t xml:space="preserve">Perhaps CTMT should not be combined into a single value. It may be more practical to specify </w:t>
      </w:r>
      <w:r w:rsidR="005E1F3E">
        <w:rPr>
          <w:lang w:val="sv-SE" w:eastAsia="ja-JP"/>
        </w:rPr>
        <w:t>C</w:t>
      </w:r>
      <w:r>
        <w:rPr>
          <w:lang w:val="sv-SE" w:eastAsia="ja-JP"/>
        </w:rPr>
        <w:t xml:space="preserve">TMT values </w:t>
      </w:r>
      <w:r w:rsidR="005E1F3E">
        <w:rPr>
          <w:lang w:val="sv-SE" w:eastAsia="ja-JP"/>
        </w:rPr>
        <w:t xml:space="preserve">as a set </w:t>
      </w:r>
      <w:r>
        <w:rPr>
          <w:lang w:val="sv-SE" w:eastAsia="ja-JP"/>
        </w:rPr>
        <w:t>at 10%-ile, 50%-ile and 90%-ile as MIMO OTA performance metrics. In this way, performances in various scenarios</w:t>
      </w:r>
      <w:r w:rsidR="00363A1D">
        <w:rPr>
          <w:lang w:val="sv-SE" w:eastAsia="ja-JP"/>
        </w:rPr>
        <w:t xml:space="preserve"> are clear and transparent to operators or customers.</w:t>
      </w:r>
      <w:r>
        <w:rPr>
          <w:lang w:val="sv-SE" w:eastAsia="ja-JP"/>
        </w:rPr>
        <w:t xml:space="preserve"> </w:t>
      </w:r>
      <w:r w:rsidR="00363A1D">
        <w:rPr>
          <w:lang w:val="sv-SE" w:eastAsia="ja-JP"/>
        </w:rPr>
        <w:t>F</w:t>
      </w:r>
      <w:r>
        <w:rPr>
          <w:lang w:val="sv-SE" w:eastAsia="ja-JP"/>
        </w:rPr>
        <w:t>or example, 10%-ile</w:t>
      </w:r>
      <w:r w:rsidR="00363A1D">
        <w:rPr>
          <w:lang w:val="sv-SE" w:eastAsia="ja-JP"/>
        </w:rPr>
        <w:t xml:space="preserve"> represents cell edge or deep fade cases, 90%-ile shows the best while 50%-ile denote typical cases. This is better than combining them into a single value and enables operators or customers to make an infomed choice</w:t>
      </w:r>
      <w:r w:rsidR="00326CEE">
        <w:rPr>
          <w:lang w:val="sv-SE" w:eastAsia="ja-JP"/>
        </w:rPr>
        <w:t xml:space="preserve"> on device performance</w:t>
      </w:r>
      <w:r w:rsidR="00363A1D">
        <w:rPr>
          <w:lang w:val="sv-SE" w:eastAsia="ja-JP"/>
        </w:rPr>
        <w:t>.</w:t>
      </w:r>
      <w:r w:rsidR="001D69DA">
        <w:rPr>
          <w:lang w:val="sv-SE" w:eastAsia="ja-JP"/>
        </w:rPr>
        <w:t xml:space="preserve"> </w:t>
      </w:r>
    </w:p>
    <w:p w14:paraId="34E180A1" w14:textId="14A8B671" w:rsidR="003B6CB5" w:rsidRDefault="001D69DA" w:rsidP="00D165ED">
      <w:pPr>
        <w:rPr>
          <w:lang w:val="sv-SE" w:eastAsia="ja-JP"/>
        </w:rPr>
      </w:pPr>
      <w:r>
        <w:rPr>
          <w:lang w:val="sv-SE" w:eastAsia="ja-JP"/>
        </w:rPr>
        <w:t xml:space="preserve">The issue with combining three values at </w:t>
      </w:r>
      <w:r w:rsidRPr="001D69DA">
        <w:rPr>
          <w:lang w:val="sv-SE" w:eastAsia="ja-JP"/>
        </w:rPr>
        <w:t>10%-ile, 50%-ile and 90%-ile</w:t>
      </w:r>
      <w:r>
        <w:rPr>
          <w:lang w:val="sv-SE" w:eastAsia="ja-JP"/>
        </w:rPr>
        <w:t xml:space="preserve"> into a single metric was highlighted in [2]. In such case, it is impossible to distinguish the performance of two devices with a similar combined metric. In contrast, it is relatvely straightforward to tell the performance differences between two devices using the throughput values at </w:t>
      </w:r>
      <w:r>
        <w:rPr>
          <w:lang w:val="sv-SE" w:eastAsia="ja-JP"/>
        </w:rPr>
        <w:t>10%-ile, 50%-ile and 90%-ile</w:t>
      </w:r>
      <w:r>
        <w:rPr>
          <w:lang w:val="sv-SE" w:eastAsia="ja-JP"/>
        </w:rPr>
        <w:t>.</w:t>
      </w:r>
    </w:p>
    <w:p w14:paraId="5DFC7F16" w14:textId="78E58857" w:rsidR="00D165ED" w:rsidRDefault="003B6CB5" w:rsidP="00D165ED">
      <w:pPr>
        <w:rPr>
          <w:lang w:val="sv-SE" w:eastAsia="ja-JP"/>
        </w:rPr>
      </w:pPr>
      <w:r w:rsidRPr="003B6CB5">
        <w:rPr>
          <w:b/>
          <w:bCs/>
          <w:lang w:val="sv-SE" w:eastAsia="ja-JP"/>
        </w:rPr>
        <w:t>Proposal 1</w:t>
      </w:r>
      <w:r>
        <w:rPr>
          <w:lang w:val="sv-SE" w:eastAsia="ja-JP"/>
        </w:rPr>
        <w:t xml:space="preserve">: use three separate values of 10%-ile, 50%-ile and 90%-ile from a combined data pool of UMa and UMi channels </w:t>
      </w:r>
      <w:r w:rsidR="001F0256">
        <w:rPr>
          <w:lang w:val="sv-SE" w:eastAsia="ja-JP"/>
        </w:rPr>
        <w:t xml:space="preserve">as a set </w:t>
      </w:r>
      <w:r>
        <w:rPr>
          <w:lang w:val="sv-SE" w:eastAsia="ja-JP"/>
        </w:rPr>
        <w:t>to represent MIMO OTA performance.</w:t>
      </w:r>
      <w:r w:rsidR="00D165ED">
        <w:rPr>
          <w:lang w:val="sv-SE" w:eastAsia="ja-JP"/>
        </w:rPr>
        <w:t xml:space="preserve"> </w:t>
      </w:r>
    </w:p>
    <w:p w14:paraId="59237BF4" w14:textId="7EA942D6" w:rsidR="005E1F3E" w:rsidRDefault="005E1F3E" w:rsidP="00D165ED">
      <w:pPr>
        <w:rPr>
          <w:lang w:val="sv-SE" w:eastAsia="ja-JP"/>
        </w:rPr>
      </w:pPr>
      <w:r>
        <w:rPr>
          <w:lang w:val="sv-SE" w:eastAsia="ja-JP"/>
        </w:rPr>
        <w:t xml:space="preserve">In addition, </w:t>
      </w:r>
      <w:r w:rsidR="000D72BD">
        <w:rPr>
          <w:lang w:val="sv-SE" w:eastAsia="ja-JP"/>
        </w:rPr>
        <w:t>a</w:t>
      </w:r>
      <w:r>
        <w:rPr>
          <w:lang w:val="sv-SE" w:eastAsia="ja-JP"/>
        </w:rPr>
        <w:t xml:space="preserve"> device should </w:t>
      </w:r>
      <w:r w:rsidR="000D72BD">
        <w:rPr>
          <w:lang w:val="sv-SE" w:eastAsia="ja-JP"/>
        </w:rPr>
        <w:t xml:space="preserve">meet or </w:t>
      </w:r>
      <w:r>
        <w:rPr>
          <w:lang w:val="sv-SE" w:eastAsia="ja-JP"/>
        </w:rPr>
        <w:t>be above all three values in order to be 3GPP MIMO performance compliant.</w:t>
      </w:r>
    </w:p>
    <w:p w14:paraId="3E559EEC" w14:textId="468C8CAD" w:rsidR="00806C4E" w:rsidRDefault="00806C4E" w:rsidP="00806C4E">
      <w:pPr>
        <w:pStyle w:val="Heading1"/>
        <w:rPr>
          <w:lang w:eastAsia="ja-JP"/>
        </w:rPr>
      </w:pPr>
      <w:r>
        <w:rPr>
          <w:lang w:eastAsia="ja-JP"/>
        </w:rPr>
        <w:t>Conclusion</w:t>
      </w:r>
    </w:p>
    <w:p w14:paraId="7E348AC0" w14:textId="379647AB" w:rsidR="00076052" w:rsidRDefault="00305ECC" w:rsidP="00076052">
      <w:pPr>
        <w:rPr>
          <w:lang w:val="sv-SE" w:eastAsia="ja-JP"/>
        </w:rPr>
      </w:pPr>
      <w:r>
        <w:rPr>
          <w:lang w:val="sv-SE" w:eastAsia="ja-JP"/>
        </w:rPr>
        <w:t>This contribution provides the following proposal.</w:t>
      </w:r>
    </w:p>
    <w:p w14:paraId="1B484078" w14:textId="2274756B" w:rsidR="00305ECC" w:rsidRDefault="00305ECC" w:rsidP="00076052">
      <w:pPr>
        <w:rPr>
          <w:lang w:val="sv-SE" w:eastAsia="ja-JP"/>
        </w:rPr>
      </w:pPr>
      <w:r w:rsidRPr="003B6CB5">
        <w:rPr>
          <w:b/>
          <w:bCs/>
          <w:lang w:val="sv-SE" w:eastAsia="ja-JP"/>
        </w:rPr>
        <w:t>Proposal 1</w:t>
      </w:r>
      <w:r>
        <w:rPr>
          <w:lang w:val="sv-SE" w:eastAsia="ja-JP"/>
        </w:rPr>
        <w:t xml:space="preserve">: use three separate values of 10%-ile, 50%-ile and 90%-ile from a combined data pool of UMa and UMi channels </w:t>
      </w:r>
      <w:r w:rsidR="001F0256">
        <w:rPr>
          <w:lang w:val="sv-SE" w:eastAsia="ja-JP"/>
        </w:rPr>
        <w:t xml:space="preserve">as a set </w:t>
      </w:r>
      <w:r>
        <w:rPr>
          <w:lang w:val="sv-SE" w:eastAsia="ja-JP"/>
        </w:rPr>
        <w:t>to represent MIMO OTA performance.</w:t>
      </w:r>
    </w:p>
    <w:p w14:paraId="18FDB067" w14:textId="7BAA29E9" w:rsidR="00076052" w:rsidRDefault="00BD0D84" w:rsidP="00076052">
      <w:pPr>
        <w:pStyle w:val="Heading1"/>
        <w:rPr>
          <w:lang w:eastAsia="ja-JP"/>
        </w:rPr>
      </w:pPr>
      <w:r>
        <w:rPr>
          <w:lang w:eastAsia="ja-JP"/>
        </w:rPr>
        <w:t>R</w:t>
      </w:r>
      <w:r w:rsidR="00076052">
        <w:rPr>
          <w:lang w:eastAsia="ja-JP"/>
        </w:rPr>
        <w:t>eference</w:t>
      </w:r>
    </w:p>
    <w:p w14:paraId="75B18B9C" w14:textId="35F974FE" w:rsidR="00213832" w:rsidRPr="00213832" w:rsidRDefault="00213832" w:rsidP="00213832">
      <w:pPr>
        <w:pStyle w:val="ListParagraph"/>
        <w:numPr>
          <w:ilvl w:val="0"/>
          <w:numId w:val="47"/>
        </w:numPr>
        <w:ind w:firstLineChars="0"/>
        <w:rPr>
          <w:lang w:val="sv-SE" w:eastAsia="ja-JP"/>
        </w:rPr>
      </w:pPr>
      <w:r w:rsidRPr="00213832">
        <w:rPr>
          <w:lang w:val="sv-SE" w:eastAsia="ja-JP"/>
        </w:rPr>
        <w:t>R4-2512693 Way Forward for [116][337] TRP_TRS_MIMO_OTA_Ph3</w:t>
      </w:r>
    </w:p>
    <w:p w14:paraId="4A16DC49" w14:textId="0585B65C" w:rsidR="00213832" w:rsidRPr="00213832" w:rsidRDefault="00213832" w:rsidP="00213832">
      <w:pPr>
        <w:pStyle w:val="ListParagraph"/>
        <w:numPr>
          <w:ilvl w:val="0"/>
          <w:numId w:val="47"/>
        </w:numPr>
        <w:ind w:firstLineChars="0"/>
        <w:rPr>
          <w:lang w:val="sv-SE" w:eastAsia="ja-JP"/>
        </w:rPr>
      </w:pPr>
      <w:r>
        <w:rPr>
          <w:lang w:val="sv-SE" w:eastAsia="ja-JP"/>
        </w:rPr>
        <w:t xml:space="preserve">R4-2509913 </w:t>
      </w:r>
      <w:r w:rsidRPr="00213832">
        <w:rPr>
          <w:lang w:val="sv-SE" w:eastAsia="ja-JP"/>
        </w:rPr>
        <w:t>On TMT and CTMT metric definitions</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CDF1" w14:textId="77777777" w:rsidR="008157DB" w:rsidRDefault="008157DB">
      <w:r>
        <w:separator/>
      </w:r>
    </w:p>
  </w:endnote>
  <w:endnote w:type="continuationSeparator" w:id="0">
    <w:p w14:paraId="51ECE5C3" w14:textId="77777777" w:rsidR="008157DB" w:rsidRDefault="0081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4C547" w14:textId="77777777" w:rsidR="008157DB" w:rsidRDefault="008157DB">
      <w:r>
        <w:separator/>
      </w:r>
    </w:p>
  </w:footnote>
  <w:footnote w:type="continuationSeparator" w:id="0">
    <w:p w14:paraId="52D2DB87" w14:textId="77777777" w:rsidR="008157DB" w:rsidRDefault="00815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C8B7084"/>
    <w:multiLevelType w:val="hybridMultilevel"/>
    <w:tmpl w:val="C346D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6"/>
  </w:num>
  <w:num w:numId="4">
    <w:abstractNumId w:val="45"/>
  </w:num>
  <w:num w:numId="5">
    <w:abstractNumId w:val="35"/>
  </w:num>
  <w:num w:numId="6">
    <w:abstractNumId w:val="42"/>
  </w:num>
  <w:num w:numId="7">
    <w:abstractNumId w:val="5"/>
  </w:num>
  <w:num w:numId="8">
    <w:abstractNumId w:val="43"/>
  </w:num>
  <w:num w:numId="9">
    <w:abstractNumId w:val="4"/>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2"/>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8"/>
  </w:num>
  <w:num w:numId="25">
    <w:abstractNumId w:val="39"/>
  </w:num>
  <w:num w:numId="26">
    <w:abstractNumId w:val="10"/>
  </w:num>
  <w:num w:numId="27">
    <w:abstractNumId w:val="1"/>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1"/>
  </w:num>
  <w:num w:numId="35">
    <w:abstractNumId w:val="38"/>
  </w:num>
  <w:num w:numId="36">
    <w:abstractNumId w:val="0"/>
  </w:num>
  <w:num w:numId="37">
    <w:abstractNumId w:val="37"/>
  </w:num>
  <w:num w:numId="38">
    <w:abstractNumId w:val="18"/>
  </w:num>
  <w:num w:numId="39">
    <w:abstractNumId w:val="28"/>
  </w:num>
  <w:num w:numId="40">
    <w:abstractNumId w:val="7"/>
  </w:num>
  <w:num w:numId="41">
    <w:abstractNumId w:val="9"/>
  </w:num>
  <w:num w:numId="42">
    <w:abstractNumId w:val="24"/>
  </w:num>
  <w:num w:numId="43">
    <w:abstractNumId w:val="17"/>
  </w:num>
  <w:num w:numId="44">
    <w:abstractNumId w:val="2"/>
  </w:num>
  <w:num w:numId="45">
    <w:abstractNumId w:val="13"/>
  </w:num>
  <w:num w:numId="46">
    <w:abstractNumId w:val="23"/>
  </w:num>
  <w:num w:numId="4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1F0F"/>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540"/>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122"/>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2BD"/>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B1A"/>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69DA"/>
    <w:rsid w:val="001D766D"/>
    <w:rsid w:val="001D7D94"/>
    <w:rsid w:val="001E07F3"/>
    <w:rsid w:val="001E0A28"/>
    <w:rsid w:val="001E28A8"/>
    <w:rsid w:val="001E3828"/>
    <w:rsid w:val="001E3900"/>
    <w:rsid w:val="001E4218"/>
    <w:rsid w:val="001E4FA1"/>
    <w:rsid w:val="001E5411"/>
    <w:rsid w:val="001E63B9"/>
    <w:rsid w:val="001E6C4D"/>
    <w:rsid w:val="001F0256"/>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32"/>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1A1D"/>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5EC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6CEE"/>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3A1D"/>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6CB5"/>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1F3E"/>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477F7"/>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E54"/>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7DB"/>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0F67"/>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6DA8"/>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6923"/>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0475"/>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5ED"/>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Pages>
  <Words>400</Words>
  <Characters>2280</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15</cp:revision>
  <cp:lastPrinted>2019-04-25T01:09:00Z</cp:lastPrinted>
  <dcterms:created xsi:type="dcterms:W3CDTF">2025-09-02T09:29:00Z</dcterms:created>
  <dcterms:modified xsi:type="dcterms:W3CDTF">2025-10-03T08:50:00Z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